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390" w:rsidRDefault="00BD5060" w:rsidP="00AA2BB5">
      <w:pPr>
        <w:jc w:val="center"/>
      </w:pPr>
      <w:r>
        <w:rPr>
          <w:b/>
          <w:bCs/>
          <w:sz w:val="28"/>
          <w:szCs w:val="28"/>
        </w:rPr>
        <w:t>Executive Summary</w:t>
      </w:r>
    </w:p>
    <w:p w:rsidR="00BD5060" w:rsidRDefault="00BD5060"/>
    <w:p w:rsidR="00854F8D" w:rsidRPr="001748C0" w:rsidRDefault="00854F8D" w:rsidP="00854F8D">
      <w:pPr>
        <w:ind w:left="926"/>
        <w:jc w:val="both"/>
        <w:rPr>
          <w:rFonts w:ascii="MS Reference Sans Serif" w:hAnsi="MS Reference Sans Serif"/>
        </w:rPr>
      </w:pPr>
      <w:r>
        <w:rPr>
          <w:rFonts w:ascii="MS Reference Sans Serif" w:hAnsi="MS Reference Sans Serif"/>
        </w:rPr>
        <w:t>The C</w:t>
      </w:r>
      <w:r w:rsidRPr="001748C0">
        <w:rPr>
          <w:rFonts w:ascii="MS Reference Sans Serif" w:hAnsi="MS Reference Sans Serif"/>
        </w:rPr>
        <w:t xml:space="preserve">ity of Sacramento provided the focus for the Area of Interest (AOI). </w:t>
      </w:r>
      <w:r>
        <w:rPr>
          <w:rFonts w:ascii="MS Reference Sans Serif" w:hAnsi="MS Reference Sans Serif"/>
        </w:rPr>
        <w:t xml:space="preserve">Specifically, </w:t>
      </w:r>
      <w:r w:rsidRPr="001748C0">
        <w:rPr>
          <w:rFonts w:ascii="MS Reference Sans Serif" w:hAnsi="MS Reference Sans Serif"/>
        </w:rPr>
        <w:t xml:space="preserve">this AOI was Mid-Sacramento, which </w:t>
      </w:r>
      <w:r>
        <w:rPr>
          <w:rFonts w:ascii="MS Reference Sans Serif" w:hAnsi="MS Reference Sans Serif"/>
        </w:rPr>
        <w:t>served as the</w:t>
      </w:r>
      <w:r w:rsidRPr="001748C0">
        <w:rPr>
          <w:rFonts w:ascii="MS Reference Sans Serif" w:hAnsi="MS Reference Sans Serif"/>
        </w:rPr>
        <w:t xml:space="preserve"> initial observations</w:t>
      </w:r>
      <w:r>
        <w:rPr>
          <w:rFonts w:ascii="MS Reference Sans Serif" w:hAnsi="MS Reference Sans Serif"/>
        </w:rPr>
        <w:t>,</w:t>
      </w:r>
      <w:r w:rsidRPr="001748C0">
        <w:rPr>
          <w:rFonts w:ascii="MS Reference Sans Serif" w:hAnsi="MS Reference Sans Serif"/>
        </w:rPr>
        <w:t xml:space="preserve"> and subsequently </w:t>
      </w:r>
      <w:r>
        <w:rPr>
          <w:rFonts w:ascii="MS Reference Sans Serif" w:hAnsi="MS Reference Sans Serif"/>
        </w:rPr>
        <w:t xml:space="preserve">partially </w:t>
      </w:r>
      <w:r w:rsidRPr="001748C0">
        <w:rPr>
          <w:rFonts w:ascii="MS Reference Sans Serif" w:hAnsi="MS Reference Sans Serif"/>
        </w:rPr>
        <w:t xml:space="preserve">supported </w:t>
      </w:r>
      <w:r>
        <w:rPr>
          <w:rFonts w:ascii="MS Reference Sans Serif" w:hAnsi="MS Reference Sans Serif"/>
        </w:rPr>
        <w:t xml:space="preserve">the premise </w:t>
      </w:r>
      <w:r w:rsidRPr="001748C0">
        <w:rPr>
          <w:rFonts w:ascii="MS Reference Sans Serif" w:hAnsi="MS Reference Sans Serif"/>
        </w:rPr>
        <w:t>via quantitative data. This data originated from the Sacramento GIS Data Portal as PD Dispatch data 2015. The main premise was to correlate criminal incidents with</w:t>
      </w:r>
      <w:r>
        <w:rPr>
          <w:rFonts w:ascii="MS Reference Sans Serif" w:hAnsi="MS Reference Sans Serif"/>
        </w:rPr>
        <w:t xml:space="preserve"> distributive </w:t>
      </w:r>
      <w:r w:rsidRPr="001748C0">
        <w:rPr>
          <w:rFonts w:ascii="MS Reference Sans Serif" w:hAnsi="MS Reference Sans Serif"/>
        </w:rPr>
        <w:t>funds that may be available to individual</w:t>
      </w:r>
      <w:r>
        <w:rPr>
          <w:rFonts w:ascii="MS Reference Sans Serif" w:hAnsi="MS Reference Sans Serif"/>
        </w:rPr>
        <w:t>s</w:t>
      </w:r>
      <w:r w:rsidRPr="001748C0">
        <w:rPr>
          <w:rFonts w:ascii="MS Reference Sans Serif" w:hAnsi="MS Reference Sans Serif"/>
        </w:rPr>
        <w:t xml:space="preserve"> committing the crimes. The Dispatch data did not include any demographic information on the</w:t>
      </w:r>
      <w:r>
        <w:rPr>
          <w:rFonts w:ascii="MS Reference Sans Serif" w:hAnsi="MS Reference Sans Serif"/>
        </w:rPr>
        <w:t>se</w:t>
      </w:r>
      <w:r w:rsidRPr="001748C0">
        <w:rPr>
          <w:rFonts w:ascii="MS Reference Sans Serif" w:hAnsi="MS Reference Sans Serif"/>
        </w:rPr>
        <w:t xml:space="preserve"> individuals</w:t>
      </w:r>
      <w:r>
        <w:rPr>
          <w:rFonts w:ascii="MS Reference Sans Serif" w:hAnsi="MS Reference Sans Serif"/>
        </w:rPr>
        <w:t>, s</w:t>
      </w:r>
      <w:r w:rsidRPr="001748C0">
        <w:rPr>
          <w:rFonts w:ascii="MS Reference Sans Serif" w:hAnsi="MS Reference Sans Serif"/>
        </w:rPr>
        <w:t xml:space="preserve">o the analysis continued with identifying the Hot Spot </w:t>
      </w:r>
      <w:r>
        <w:rPr>
          <w:rFonts w:ascii="MS Reference Sans Serif" w:hAnsi="MS Reference Sans Serif"/>
        </w:rPr>
        <w:t>regions of crime</w:t>
      </w:r>
      <w:r w:rsidRPr="001748C0">
        <w:rPr>
          <w:rFonts w:ascii="MS Reference Sans Serif" w:hAnsi="MS Reference Sans Serif"/>
        </w:rPr>
        <w:t xml:space="preserve"> within the city scope. Community demographics supplemented the Hexbins</w:t>
      </w:r>
      <w:r>
        <w:rPr>
          <w:rFonts w:ascii="MS Reference Sans Serif" w:hAnsi="MS Reference Sans Serif"/>
        </w:rPr>
        <w:t>, used for hot spot aggregation,</w:t>
      </w:r>
      <w:r w:rsidRPr="001748C0">
        <w:rPr>
          <w:rFonts w:ascii="MS Reference Sans Serif" w:hAnsi="MS Reference Sans Serif"/>
        </w:rPr>
        <w:t xml:space="preserve"> via Ersi’s</w:t>
      </w:r>
      <w:bookmarkStart w:id="0" w:name="_GoBack"/>
      <w:bookmarkEnd w:id="0"/>
      <w:r w:rsidRPr="001748C0">
        <w:rPr>
          <w:rFonts w:ascii="MS Reference Sans Serif" w:hAnsi="MS Reference Sans Serif"/>
        </w:rPr>
        <w:t xml:space="preserve"> resources. The obvious conclusion drawn is that economically stressed areas may attract external community influences as identified by the Hot Spot analysis. These identified areas are; Downtown, Alkali Flat, Midtown/Winn Park/Capital Avenue, Mansion Flats, Southern Pacific/Richards, and Boulevard Park. The Hot Spot analysis was provided with ArcGIS Pro by using the ‘Space Time Cube by Aggregation’ tool. This tool generated a higher granularity than the tool that is provided within ArcGIS Online.</w:t>
      </w:r>
    </w:p>
    <w:p w:rsidR="00854F8D" w:rsidRPr="001748C0" w:rsidRDefault="00854F8D" w:rsidP="00854F8D">
      <w:pPr>
        <w:ind w:left="926"/>
        <w:jc w:val="both"/>
        <w:rPr>
          <w:rFonts w:ascii="MS Reference Sans Serif" w:hAnsi="MS Reference Sans Serif"/>
        </w:rPr>
      </w:pPr>
      <w:r w:rsidRPr="001748C0">
        <w:rPr>
          <w:rFonts w:ascii="MS Reference Sans Serif" w:hAnsi="MS Reference Sans Serif"/>
        </w:rPr>
        <w:t xml:space="preserve">ArcGIS Pro and ArcGIS Online are not entirely compatible. Pro can handle large datasets, contingent on </w:t>
      </w:r>
      <w:r>
        <w:rPr>
          <w:rFonts w:ascii="MS Reference Sans Serif" w:hAnsi="MS Reference Sans Serif"/>
        </w:rPr>
        <w:t xml:space="preserve">PC </w:t>
      </w:r>
      <w:r w:rsidRPr="001748C0">
        <w:rPr>
          <w:rFonts w:ascii="MS Reference Sans Serif" w:hAnsi="MS Reference Sans Serif"/>
        </w:rPr>
        <w:t xml:space="preserve">resources, and can provide charting analysis tools that </w:t>
      </w:r>
      <w:r>
        <w:rPr>
          <w:rFonts w:ascii="MS Reference Sans Serif" w:hAnsi="MS Reference Sans Serif"/>
        </w:rPr>
        <w:t>are</w:t>
      </w:r>
      <w:r w:rsidRPr="001748C0">
        <w:rPr>
          <w:rFonts w:ascii="MS Reference Sans Serif" w:hAnsi="MS Reference Sans Serif"/>
        </w:rPr>
        <w:t xml:space="preserve"> not equivalent </w:t>
      </w:r>
      <w:r>
        <w:rPr>
          <w:rFonts w:ascii="MS Reference Sans Serif" w:hAnsi="MS Reference Sans Serif"/>
        </w:rPr>
        <w:t>with</w:t>
      </w:r>
      <w:r w:rsidRPr="001748C0">
        <w:rPr>
          <w:rFonts w:ascii="MS Reference Sans Serif" w:hAnsi="MS Reference Sans Serif"/>
        </w:rPr>
        <w:t xml:space="preserve"> the </w:t>
      </w:r>
      <w:proofErr w:type="gramStart"/>
      <w:r w:rsidRPr="001748C0">
        <w:rPr>
          <w:rFonts w:ascii="MS Reference Sans Serif" w:hAnsi="MS Reference Sans Serif"/>
        </w:rPr>
        <w:t>Online</w:t>
      </w:r>
      <w:proofErr w:type="gramEnd"/>
      <w:r w:rsidRPr="001748C0">
        <w:rPr>
          <w:rFonts w:ascii="MS Reference Sans Serif" w:hAnsi="MS Reference Sans Serif"/>
        </w:rPr>
        <w:t xml:space="preserve"> experience. Two charts were used in the analysis within ArcGIS Pro: linear chart with a series from one or more fields, and Ordinary Least Squares. These two charts did not produce a counterpart within ArcGIS Online. The Online datasets require preprocessing step</w:t>
      </w:r>
      <w:r>
        <w:rPr>
          <w:rFonts w:ascii="MS Reference Sans Serif" w:hAnsi="MS Reference Sans Serif"/>
        </w:rPr>
        <w:t>s</w:t>
      </w:r>
      <w:r w:rsidRPr="001748C0">
        <w:rPr>
          <w:rFonts w:ascii="MS Reference Sans Serif" w:hAnsi="MS Reference Sans Serif"/>
        </w:rPr>
        <w:t xml:space="preserve"> to manage the </w:t>
      </w:r>
      <w:r>
        <w:rPr>
          <w:rFonts w:ascii="MS Reference Sans Serif" w:hAnsi="MS Reference Sans Serif"/>
        </w:rPr>
        <w:t xml:space="preserve">dataset </w:t>
      </w:r>
      <w:r w:rsidRPr="001748C0">
        <w:rPr>
          <w:rFonts w:ascii="MS Reference Sans Serif" w:hAnsi="MS Reference Sans Serif"/>
        </w:rPr>
        <w:t>size for rendering and performance.</w:t>
      </w:r>
    </w:p>
    <w:p w:rsidR="00BD5060" w:rsidRDefault="00BD5060"/>
    <w:sectPr w:rsidR="00BD50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F70"/>
    <w:rsid w:val="002360E5"/>
    <w:rsid w:val="00854F8D"/>
    <w:rsid w:val="00AA2BB5"/>
    <w:rsid w:val="00AD4F70"/>
    <w:rsid w:val="00BD5060"/>
    <w:rsid w:val="00E66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635675-2BF0-4EFD-BC24-718424639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</dc:creator>
  <cp:keywords/>
  <dc:description/>
  <cp:lastModifiedBy>Ortiz, Alfred</cp:lastModifiedBy>
  <cp:revision>5</cp:revision>
  <dcterms:created xsi:type="dcterms:W3CDTF">2017-12-12T00:15:00Z</dcterms:created>
  <dcterms:modified xsi:type="dcterms:W3CDTF">2017-12-13T01:22:00Z</dcterms:modified>
</cp:coreProperties>
</file>